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C9FF" w14:textId="77777777" w:rsidR="005E2B26" w:rsidRPr="00931751" w:rsidRDefault="002E5895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E3FD5" w14:paraId="55428A7C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E3F10D5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758302" w14:textId="77777777" w:rsidR="005E2B26" w:rsidRPr="00931751" w:rsidRDefault="002E5895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</w:t>
            </w:r>
            <w:bookmarkEnd w:id="0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5B2FD671" w14:textId="77777777" w:rsidR="005E2B26" w:rsidRPr="00931751" w:rsidRDefault="002E5895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</w:t>
            </w:r>
            <w:bookmarkEnd w:id="2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3" w:name="sps1b"/>
            <w:bookmarkEnd w:id="3"/>
          </w:p>
        </w:tc>
      </w:tr>
      <w:tr w:rsidR="004E3FD5" w14:paraId="761707D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7A44A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6A4A5" w14:textId="77777777" w:rsidR="005E2B26" w:rsidRPr="00931751" w:rsidRDefault="002E5895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</w:t>
            </w:r>
            <w:bookmarkEnd w:id="4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4E3FD5" w14:paraId="688FCC3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56C6B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D3B7C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</w:t>
            </w:r>
            <w:bookmarkEnd w:id="6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pesticide </w:t>
            </w:r>
            <w:proofErr w:type="spellStart"/>
            <w:r w:rsidRPr="00053BCC">
              <w:t>pyraziflumid</w:t>
            </w:r>
            <w:proofErr w:type="spellEnd"/>
            <w:r w:rsidRPr="00053BCC">
              <w:t xml:space="preserve"> dans ou sur diverses cultures (Codes ICS: 65.020, 65.100, 67.040, 67.080)</w:t>
            </w:r>
            <w:bookmarkStart w:id="7" w:name="sps3a"/>
            <w:bookmarkEnd w:id="7"/>
          </w:p>
        </w:tc>
      </w:tr>
      <w:tr w:rsidR="004E3FD5" w14:paraId="74CCAFF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9BDA8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DBCE8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</w:t>
            </w:r>
            <w:bookmarkEnd w:id="8"/>
            <w:r w:rsidRPr="00931751">
              <w:rPr>
                <w:b/>
              </w:rPr>
              <w:t>:</w:t>
            </w:r>
            <w:proofErr w:type="gramEnd"/>
          </w:p>
          <w:p w14:paraId="4214F942" w14:textId="77777777" w:rsidR="005E2B26" w:rsidRPr="00931751" w:rsidRDefault="002E5895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39AB1EE3" w14:textId="77777777" w:rsidR="005E2B26" w:rsidRPr="00931751" w:rsidRDefault="002E5895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2" w:name="sps4abis"/>
            <w:bookmarkEnd w:id="12"/>
            <w:proofErr w:type="gramEnd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4E3FD5" w14:paraId="0E0DFA1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8B90E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02BD1" w14:textId="715BAB94" w:rsidR="005E2B26" w:rsidRPr="00931751" w:rsidRDefault="002E5895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</w:t>
            </w:r>
            <w:bookmarkEnd w:id="15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Limites maximales de résidus proposées: </w:t>
            </w:r>
            <w:proofErr w:type="spellStart"/>
            <w:r w:rsidRPr="00053BCC">
              <w:t>Pyraziflumid</w:t>
            </w:r>
            <w:proofErr w:type="spellEnd"/>
            <w:r w:rsidRPr="00053BCC">
              <w:t xml:space="preserve"> (PMRL2022-02)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</w:t>
            </w:r>
            <w:bookmarkEnd w:id="17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</w:t>
            </w:r>
            <w:bookmarkEnd w:id="19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4E3FD5" w14:paraId="4C99915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14137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6FBF88" w14:textId="7305B951" w:rsidR="005E2B26" w:rsidRPr="00931751" w:rsidRDefault="002E5895" w:rsidP="00931751">
            <w:pPr>
              <w:spacing w:before="120" w:after="120"/>
            </w:pPr>
            <w:bookmarkStart w:id="21" w:name="X_SPS_Reg_6A"/>
            <w:proofErr w:type="gramStart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Le document PMRL2022-02 a pour but de mener une consultation sur les limites maximales de résidus (LMR) canadiennes qui ont été proposées par l'Agence de réglementation de la lutte antiparasitaire (ARLA) de Santé</w:t>
            </w:r>
            <w:r>
              <w:t xml:space="preserve"> </w:t>
            </w:r>
            <w:r w:rsidRPr="00053BCC">
              <w:t xml:space="preserve">Canada pour le </w:t>
            </w:r>
            <w:proofErr w:type="spellStart"/>
            <w:r w:rsidRPr="00053BCC">
              <w:t>pyraziflumid</w:t>
            </w:r>
            <w:proofErr w:type="spellEnd"/>
            <w:r w:rsidRPr="00053BCC">
              <w:t>.</w:t>
            </w:r>
          </w:p>
          <w:p w14:paraId="210BB620" w14:textId="67EC9FE5" w:rsidR="004E3FD5" w:rsidRPr="00053BCC" w:rsidRDefault="002E5895" w:rsidP="0053206C">
            <w:pPr>
              <w:tabs>
                <w:tab w:val="left" w:pos="1265"/>
              </w:tabs>
              <w:spacing w:after="120"/>
            </w:pPr>
            <w:r w:rsidRPr="0053206C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53206C">
              <w:rPr>
                <w:vertAlign w:val="superscript"/>
              </w:rPr>
              <w:tab/>
            </w:r>
            <w:r w:rsidRPr="0053206C">
              <w:rPr>
                <w:u w:val="single"/>
              </w:rPr>
              <w:t>Produit agricole brut et/ou produit transformé</w:t>
            </w:r>
          </w:p>
          <w:p w14:paraId="5956A0B2" w14:textId="6879430F" w:rsidR="004E3FD5" w:rsidRPr="00053BCC" w:rsidRDefault="002E5895" w:rsidP="0053206C">
            <w:pPr>
              <w:tabs>
                <w:tab w:val="left" w:pos="1265"/>
              </w:tabs>
              <w:ind w:left="1265" w:hanging="1265"/>
            </w:pPr>
            <w:r w:rsidRPr="00053BCC">
              <w:t>6,0</w:t>
            </w:r>
            <w:r w:rsidR="0053206C">
              <w:tab/>
            </w:r>
            <w:r w:rsidRPr="00053BCC">
              <w:t xml:space="preserve">Petits fruits des genres </w:t>
            </w:r>
            <w:r w:rsidRPr="00053BCC">
              <w:rPr>
                <w:i/>
                <w:iCs/>
              </w:rPr>
              <w:t>Ribes</w:t>
            </w:r>
            <w:r w:rsidRPr="00053BCC">
              <w:t xml:space="preserve">, </w:t>
            </w:r>
            <w:proofErr w:type="spellStart"/>
            <w:r w:rsidRPr="00053BCC">
              <w:rPr>
                <w:i/>
                <w:iCs/>
              </w:rPr>
              <w:t>Sambucus</w:t>
            </w:r>
            <w:proofErr w:type="spellEnd"/>
            <w:r w:rsidRPr="00053BCC">
              <w:t xml:space="preserve"> et </w:t>
            </w:r>
            <w:r w:rsidRPr="00053BCC">
              <w:rPr>
                <w:i/>
                <w:iCs/>
              </w:rPr>
              <w:t>Vaccinium</w:t>
            </w:r>
            <w:r w:rsidRPr="00053BCC">
              <w:t xml:space="preserve"> (sous-groupe de cultures 13-07B)</w:t>
            </w:r>
          </w:p>
          <w:p w14:paraId="6B5FB9E8" w14:textId="6E67C94F" w:rsidR="004E3FD5" w:rsidRPr="00053BCC" w:rsidRDefault="002E5895" w:rsidP="0053206C">
            <w:pPr>
              <w:tabs>
                <w:tab w:val="left" w:pos="1265"/>
              </w:tabs>
              <w:ind w:left="1265" w:hanging="1265"/>
            </w:pPr>
            <w:r w:rsidRPr="00053BCC">
              <w:t>4,0</w:t>
            </w:r>
            <w:r w:rsidR="0053206C">
              <w:tab/>
            </w:r>
            <w:r w:rsidRPr="00053BCC">
              <w:t>Mûres et framboises (sous-groupe de cultures 13-07A)</w:t>
            </w:r>
          </w:p>
          <w:p w14:paraId="526BF30A" w14:textId="13BCADD3" w:rsidR="004E3FD5" w:rsidRPr="00053BCC" w:rsidRDefault="002E5895" w:rsidP="0053206C">
            <w:pPr>
              <w:tabs>
                <w:tab w:val="left" w:pos="1265"/>
              </w:tabs>
              <w:ind w:left="1265" w:hanging="1265"/>
            </w:pPr>
            <w:r w:rsidRPr="00053BCC">
              <w:t>2,0</w:t>
            </w:r>
            <w:r w:rsidR="0053206C">
              <w:tab/>
            </w:r>
            <w:r w:rsidRPr="00053BCC">
              <w:t>Fruits à noyau (groupe de cultures 12-09), raisins secs</w:t>
            </w:r>
          </w:p>
          <w:p w14:paraId="1257A6EB" w14:textId="6AA6CD92" w:rsidR="004E3FD5" w:rsidRPr="00053BCC" w:rsidRDefault="002E5895" w:rsidP="0053206C">
            <w:pPr>
              <w:tabs>
                <w:tab w:val="left" w:pos="1265"/>
              </w:tabs>
              <w:ind w:left="1265" w:hanging="1265"/>
            </w:pPr>
            <w:r w:rsidRPr="00053BCC">
              <w:t>1,5</w:t>
            </w:r>
            <w:r w:rsidR="0053206C">
              <w:tab/>
            </w:r>
            <w:r w:rsidRPr="00053BCC">
              <w:t>Petits fruits de plantes grimpantes, sauf le kiwi (sous-groupe de cultures 13</w:t>
            </w:r>
            <w:r w:rsidR="0053206C">
              <w:noBreakHyphen/>
            </w:r>
            <w:r w:rsidRPr="00053BCC">
              <w:t>07F)</w:t>
            </w:r>
          </w:p>
          <w:p w14:paraId="47AB4882" w14:textId="54B0FBDA" w:rsidR="004E3FD5" w:rsidRPr="00053BCC" w:rsidRDefault="002E5895" w:rsidP="0053206C">
            <w:pPr>
              <w:tabs>
                <w:tab w:val="left" w:pos="1265"/>
              </w:tabs>
              <w:ind w:left="1265" w:hanging="1265"/>
            </w:pPr>
            <w:r w:rsidRPr="00053BCC">
              <w:t>0,4</w:t>
            </w:r>
            <w:r w:rsidR="0053206C">
              <w:tab/>
            </w:r>
            <w:r w:rsidRPr="00053BCC">
              <w:t>Fruits à pépins (groupe de cultures 11-09)</w:t>
            </w:r>
          </w:p>
          <w:p w14:paraId="1109737A" w14:textId="7BAB684D" w:rsidR="004E3FD5" w:rsidRPr="00053BCC" w:rsidRDefault="002E5895" w:rsidP="0053206C">
            <w:pPr>
              <w:tabs>
                <w:tab w:val="left" w:pos="1265"/>
              </w:tabs>
              <w:spacing w:after="120"/>
              <w:ind w:left="1265" w:hanging="1265"/>
            </w:pPr>
            <w:r w:rsidRPr="00053BCC">
              <w:t>0,03</w:t>
            </w:r>
            <w:r w:rsidR="0053206C">
              <w:tab/>
            </w:r>
            <w:r w:rsidRPr="00053BCC">
              <w:t>Noix au sens large, arachides exclues (groupe de cultures 14-11)</w:t>
            </w:r>
          </w:p>
          <w:p w14:paraId="329FD767" w14:textId="77777777" w:rsidR="004E3FD5" w:rsidRPr="0053206C" w:rsidRDefault="002E5895" w:rsidP="00931751">
            <w:pPr>
              <w:spacing w:after="120"/>
              <w:rPr>
                <w:sz w:val="16"/>
                <w:szCs w:val="20"/>
              </w:rPr>
            </w:pPr>
            <w:r w:rsidRPr="0053206C">
              <w:rPr>
                <w:sz w:val="16"/>
                <w:szCs w:val="20"/>
                <w:vertAlign w:val="superscript"/>
              </w:rPr>
              <w:t xml:space="preserve">1 </w:t>
            </w:r>
            <w:r w:rsidRPr="0053206C">
              <w:rPr>
                <w:sz w:val="16"/>
                <w:szCs w:val="20"/>
              </w:rPr>
              <w:t>ppm = partie par million</w:t>
            </w:r>
          </w:p>
          <w:p w14:paraId="4FECDAFA" w14:textId="77777777" w:rsidR="004E3FD5" w:rsidRPr="00053BCC" w:rsidRDefault="002E5895" w:rsidP="00931751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4E3FD5" w14:paraId="66F938A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9C5B8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D2FB24" w14:textId="77777777" w:rsidR="005E2B26" w:rsidRPr="00931751" w:rsidRDefault="002E5895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</w:t>
            </w:r>
            <w:bookmarkEnd w:id="23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4E3FD5" w14:paraId="5715AD4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EDDFF" w14:textId="77777777" w:rsidR="005E2B26" w:rsidRPr="00931751" w:rsidRDefault="002E5895" w:rsidP="0053206C">
            <w:pPr>
              <w:keepNext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74120" w14:textId="77777777" w:rsidR="005E2B26" w:rsidRPr="00931751" w:rsidRDefault="002E5895" w:rsidP="0053206C">
            <w:pPr>
              <w:keepNext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</w:t>
            </w:r>
            <w:bookmarkEnd w:id="35"/>
            <w:r w:rsidRPr="00931751">
              <w:rPr>
                <w:b/>
              </w:rPr>
              <w:t>:</w:t>
            </w:r>
            <w:proofErr w:type="gramEnd"/>
          </w:p>
          <w:p w14:paraId="2AAA3907" w14:textId="77777777" w:rsidR="005E2B26" w:rsidRPr="00931751" w:rsidRDefault="002E5895" w:rsidP="0053206C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6" w:name="sps8a"/>
            <w:bookmarkEnd w:id="36"/>
            <w:proofErr w:type="gramEnd"/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bookmarkEnd w:id="38"/>
          </w:p>
          <w:p w14:paraId="5F5A8833" w14:textId="77777777" w:rsidR="005E2B26" w:rsidRPr="00931751" w:rsidRDefault="002E5895" w:rsidP="0053206C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2F27F162" w14:textId="77777777" w:rsidR="005E2B26" w:rsidRPr="00931751" w:rsidRDefault="002E5895" w:rsidP="0053206C">
            <w:pPr>
              <w:keepNext/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2A6402D0" w14:textId="77777777" w:rsidR="005E2B26" w:rsidRPr="00931751" w:rsidRDefault="002E5895" w:rsidP="0053206C">
            <w:pPr>
              <w:keepNext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5" w:name="sps8d"/>
            <w:r w:rsidRPr="00931751">
              <w:rPr>
                <w:b/>
              </w:rPr>
              <w:t>X</w:t>
            </w:r>
            <w:bookmarkEnd w:id="4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59CCA09B" w14:textId="77777777" w:rsidR="005E2B26" w:rsidRPr="00931751" w:rsidRDefault="002E5895" w:rsidP="0053206C">
            <w:pPr>
              <w:keepNext/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bookmarkEnd w:id="47"/>
            <w:proofErr w:type="gramEnd"/>
          </w:p>
          <w:p w14:paraId="1A3A393F" w14:textId="77777777" w:rsidR="005E2B26" w:rsidRPr="00931751" w:rsidRDefault="002E5895" w:rsidP="0053206C">
            <w:pPr>
              <w:keepNext/>
              <w:spacing w:after="1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48" w:name="sps8ey"/>
            <w:bookmarkEnd w:id="48"/>
            <w:proofErr w:type="gramEnd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46B2DEAF" w14:textId="77777777" w:rsidR="005E2B26" w:rsidRPr="00931751" w:rsidRDefault="002E5895" w:rsidP="0053206C">
            <w:pPr>
              <w:keepNext/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</w:t>
            </w:r>
            <w:bookmarkEnd w:id="52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t xml:space="preserve"> </w:t>
            </w:r>
            <w:bookmarkStart w:id="53" w:name="sps8e"/>
            <w:r w:rsidRPr="00053BCC">
              <w:t xml:space="preserve">À l'heure actuelle, aucune LMR n'est fixée pour le </w:t>
            </w:r>
            <w:proofErr w:type="spellStart"/>
            <w:r w:rsidRPr="00053BCC">
              <w:t>pyraziflumid</w:t>
            </w:r>
            <w:proofErr w:type="spellEnd"/>
            <w:r w:rsidRPr="00053BCC">
              <w:t xml:space="preserve"> dans ou sur aucune denrée par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4E3FD5" w14:paraId="3687E9E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53E21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D60D0" w14:textId="77777777" w:rsidR="005E2B26" w:rsidRPr="00931751" w:rsidRDefault="002E5895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931751">
              <w:rPr>
                <w:b/>
              </w:rPr>
              <w:t>disponibles</w:t>
            </w:r>
            <w:bookmarkEnd w:id="54"/>
            <w:r w:rsidRPr="00931751">
              <w:rPr>
                <w:b/>
              </w:rPr>
              <w:t>:</w:t>
            </w:r>
            <w:proofErr w:type="gramEnd"/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PMRL2022-02, affiché le 28 février 2022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4E3FD5" w14:paraId="68A582E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4EA55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E872E" w14:textId="77777777" w:rsidR="005E2B26" w:rsidRPr="00931751" w:rsidRDefault="002E5895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3FD4FAC7" w14:textId="77777777" w:rsidR="005E2B26" w:rsidRPr="00931751" w:rsidRDefault="002E5895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proofErr w:type="gramEnd"/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4E3FD5" w14:paraId="52A5CE1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CA7BF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C2893" w14:textId="77777777" w:rsidR="005E2B26" w:rsidRPr="00931751" w:rsidRDefault="002E5895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</w:t>
            </w:r>
            <w:bookmarkEnd w:id="61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0D0D4F3F" w14:textId="77777777" w:rsidR="005E2B26" w:rsidRPr="00931751" w:rsidRDefault="002E5895" w:rsidP="00931751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4E3FD5" w14:paraId="6F973ADE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F6C7E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20374" w14:textId="77777777" w:rsidR="005E2B26" w:rsidRPr="00931751" w:rsidRDefault="002E5895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</w:t>
            </w:r>
            <w:bookmarkEnd w:id="68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14 mai 2022</w:t>
            </w:r>
            <w:bookmarkEnd w:id="71"/>
          </w:p>
          <w:p w14:paraId="485B3F46" w14:textId="77777777" w:rsidR="005E2B26" w:rsidRPr="00931751" w:rsidRDefault="002E5895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</w:t>
            </w:r>
            <w:bookmarkEnd w:id="72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77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  <w:bookmarkStart w:id="78" w:name="sps12d"/>
            <w:bookmarkEnd w:id="78"/>
          </w:p>
        </w:tc>
      </w:tr>
      <w:tr w:rsidR="004E3FD5" w14:paraId="7C8BA631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BA39B5" w14:textId="77777777" w:rsidR="005E2B26" w:rsidRPr="00931751" w:rsidRDefault="002E5895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448D53" w14:textId="77777777" w:rsidR="005E2B26" w:rsidRPr="00931751" w:rsidRDefault="002E5895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</w:t>
            </w:r>
            <w:bookmarkEnd w:id="79"/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 xml:space="preserve">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</w:t>
            </w:r>
            <w:bookmarkEnd w:id="84"/>
            <w:r w:rsidRPr="00931751">
              <w:rPr>
                <w:b/>
              </w:rPr>
              <w:t>:</w:t>
            </w:r>
            <w:proofErr w:type="gramEnd"/>
            <w:r w:rsidRPr="00053BCC">
              <w:t xml:space="preserve"> </w:t>
            </w:r>
          </w:p>
          <w:p w14:paraId="06EE8851" w14:textId="77777777" w:rsidR="005E2B26" w:rsidRPr="00053BCC" w:rsidRDefault="002E5895" w:rsidP="00252E8B">
            <w:pPr>
              <w:keepNext/>
              <w:keepLines/>
            </w:pPr>
            <w:r w:rsidRPr="00053BCC">
              <w:t xml:space="preserve">Le texte réglementaire est disponible en version électronique à partir </w:t>
            </w:r>
            <w:proofErr w:type="gramStart"/>
            <w:r w:rsidRPr="00053BCC">
              <w:t>de:</w:t>
            </w:r>
            <w:proofErr w:type="gramEnd"/>
          </w:p>
          <w:p w14:paraId="07F032C4" w14:textId="77777777" w:rsidR="005E2B26" w:rsidRPr="00053BCC" w:rsidRDefault="00B1722A" w:rsidP="00252E8B">
            <w:pPr>
              <w:keepNext/>
              <w:keepLines/>
            </w:pPr>
            <w:hyperlink r:id="rId10" w:tgtFrame="_blank" w:history="1">
              <w:r w:rsidR="002E5895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https://www.canada.ca/en/health-canada/services/consumer-product-safety/pesticides-pest-management/public/consultations/proposed-maximum-residue-limit/2022/pyraziflumid/document.html</w:t>
              </w:r>
            </w:hyperlink>
            <w:r w:rsidR="002E5895" w:rsidRPr="00053BCC">
              <w:t xml:space="preserve"> (anglais)</w:t>
            </w:r>
          </w:p>
          <w:p w14:paraId="24D84A8B" w14:textId="77777777" w:rsidR="005E2B26" w:rsidRPr="00053BCC" w:rsidRDefault="00B1722A" w:rsidP="00252E8B">
            <w:pPr>
              <w:keepNext/>
              <w:keepLines/>
            </w:pPr>
            <w:hyperlink r:id="rId11" w:tgtFrame="_blank" w:history="1">
              <w:r w:rsidR="002E5895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https://www.canada.ca/fr/sante-canada/services/securite-produits-consommation/pesticides-lutte-antiparasitaire/public/consultations/limites-maximales-residus-proposees/2022/pyraziflumid/document.html</w:t>
              </w:r>
            </w:hyperlink>
            <w:r w:rsidR="002E5895" w:rsidRPr="00053BCC">
              <w:t xml:space="preserve"> (français)</w:t>
            </w:r>
          </w:p>
          <w:p w14:paraId="18B078F6" w14:textId="4EE337C5" w:rsidR="005E2B26" w:rsidRPr="00053BCC" w:rsidRDefault="005E2B26" w:rsidP="00252E8B">
            <w:pPr>
              <w:keepNext/>
              <w:keepLines/>
            </w:pPr>
          </w:p>
          <w:p w14:paraId="451D2D44" w14:textId="77777777" w:rsidR="005E2B26" w:rsidRPr="00053BCC" w:rsidRDefault="002E5895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0B5E5084" w14:textId="77777777" w:rsidR="005E2B26" w:rsidRPr="00053BCC" w:rsidRDefault="002E5895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3C437E04" w14:textId="77777777" w:rsidR="005E2B26" w:rsidRPr="00053BCC" w:rsidRDefault="002E5895" w:rsidP="00252E8B">
            <w:pPr>
              <w:keepNext/>
              <w:keepLines/>
            </w:pPr>
            <w:r w:rsidRPr="00053BCC">
              <w:t>Affaires mondiales Canada</w:t>
            </w:r>
          </w:p>
          <w:p w14:paraId="044643C9" w14:textId="77777777" w:rsidR="005E2B26" w:rsidRPr="00053BCC" w:rsidRDefault="002E5895" w:rsidP="00252E8B">
            <w:pPr>
              <w:keepNext/>
              <w:keepLines/>
            </w:pPr>
            <w:r w:rsidRPr="00053BCC">
              <w:t>111, promenade Sussex</w:t>
            </w:r>
          </w:p>
          <w:p w14:paraId="16A331D1" w14:textId="77777777" w:rsidR="005E2B26" w:rsidRPr="00053BCC" w:rsidRDefault="002E5895" w:rsidP="00252E8B">
            <w:pPr>
              <w:keepNext/>
              <w:keepLines/>
            </w:pPr>
            <w:r w:rsidRPr="00053BCC">
              <w:t>Ottawa, Ontario, K1A 0G2</w:t>
            </w:r>
          </w:p>
          <w:p w14:paraId="0DBAD075" w14:textId="77777777" w:rsidR="005E2B26" w:rsidRPr="00053BCC" w:rsidRDefault="002E5895" w:rsidP="00252E8B">
            <w:pPr>
              <w:keepNext/>
              <w:keepLines/>
            </w:pPr>
            <w:r w:rsidRPr="00053BCC">
              <w:t>Canada</w:t>
            </w:r>
          </w:p>
          <w:p w14:paraId="52DBCE74" w14:textId="77777777" w:rsidR="005E2B26" w:rsidRPr="00053BCC" w:rsidRDefault="002E5895" w:rsidP="00252E8B">
            <w:pPr>
              <w:keepNext/>
              <w:keepLines/>
            </w:pPr>
            <w:proofErr w:type="gramStart"/>
            <w:r w:rsidRPr="00053BCC">
              <w:t>Tel:</w:t>
            </w:r>
            <w:proofErr w:type="gramEnd"/>
            <w:r w:rsidRPr="00053BCC">
              <w:t xml:space="preserve"> +(343) 203 4273</w:t>
            </w:r>
          </w:p>
          <w:p w14:paraId="558C0996" w14:textId="77777777" w:rsidR="005E2B26" w:rsidRPr="00053BCC" w:rsidRDefault="002E5895" w:rsidP="00252E8B">
            <w:pPr>
              <w:keepNext/>
              <w:keepLines/>
            </w:pPr>
            <w:proofErr w:type="gramStart"/>
            <w:r w:rsidRPr="00053BCC">
              <w:t>Fax:</w:t>
            </w:r>
            <w:proofErr w:type="gramEnd"/>
            <w:r w:rsidRPr="00053BCC">
              <w:t xml:space="preserve"> +(613) 943 0346</w:t>
            </w:r>
          </w:p>
          <w:p w14:paraId="7858AA56" w14:textId="77777777" w:rsidR="005E2B26" w:rsidRPr="00053BCC" w:rsidRDefault="002E5895" w:rsidP="00252E8B">
            <w:pPr>
              <w:keepNext/>
              <w:keepLines/>
              <w:spacing w:after="120"/>
            </w:pPr>
            <w:proofErr w:type="gramStart"/>
            <w:r w:rsidRPr="00053BCC">
              <w:t>E-mail:</w:t>
            </w:r>
            <w:proofErr w:type="gramEnd"/>
            <w:r w:rsidRPr="00053BCC">
              <w:t xml:space="preserve"> enquirypoint@international.gc.ca</w:t>
            </w:r>
            <w:bookmarkStart w:id="85" w:name="sps13c"/>
            <w:bookmarkEnd w:id="85"/>
          </w:p>
        </w:tc>
      </w:tr>
    </w:tbl>
    <w:p w14:paraId="147396DF" w14:textId="77777777" w:rsidR="00337700" w:rsidRPr="00931751" w:rsidRDefault="00337700" w:rsidP="00931751"/>
    <w:sectPr w:rsidR="00337700" w:rsidRPr="00931751" w:rsidSect="005320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6C33" w14:textId="77777777" w:rsidR="00B2578B" w:rsidRDefault="002E5895">
      <w:r>
        <w:separator/>
      </w:r>
    </w:p>
  </w:endnote>
  <w:endnote w:type="continuationSeparator" w:id="0">
    <w:p w14:paraId="21E0480C" w14:textId="77777777" w:rsidR="00B2578B" w:rsidRDefault="002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05C5" w14:textId="2F231956" w:rsidR="005E2B26" w:rsidRPr="0053206C" w:rsidRDefault="0053206C" w:rsidP="0053206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6886" w14:textId="56188E60" w:rsidR="00DD65B2" w:rsidRPr="0053206C" w:rsidRDefault="0053206C" w:rsidP="0053206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D006" w14:textId="77777777" w:rsidR="00DD65B2" w:rsidRPr="00931751" w:rsidRDefault="002E5895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A03C" w14:textId="77777777" w:rsidR="00B2578B" w:rsidRDefault="002E5895">
      <w:r>
        <w:separator/>
      </w:r>
    </w:p>
  </w:footnote>
  <w:footnote w:type="continuationSeparator" w:id="0">
    <w:p w14:paraId="4902628D" w14:textId="77777777" w:rsidR="00B2578B" w:rsidRDefault="002E5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B8EB" w14:textId="77777777" w:rsidR="0053206C" w:rsidRPr="0053206C" w:rsidRDefault="0053206C" w:rsidP="00532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06C">
      <w:t>G/SPS/N/CAN/1427</w:t>
    </w:r>
  </w:p>
  <w:p w14:paraId="28FE7364" w14:textId="77777777" w:rsidR="0053206C" w:rsidRPr="0053206C" w:rsidRDefault="0053206C" w:rsidP="00532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2928F0" w14:textId="0EBDF8CC" w:rsidR="0053206C" w:rsidRPr="0053206C" w:rsidRDefault="0053206C" w:rsidP="00532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06C">
      <w:t xml:space="preserve">- </w:t>
    </w:r>
    <w:r w:rsidRPr="0053206C">
      <w:fldChar w:fldCharType="begin"/>
    </w:r>
    <w:r w:rsidRPr="0053206C">
      <w:instrText xml:space="preserve"> PAGE </w:instrText>
    </w:r>
    <w:r w:rsidRPr="0053206C">
      <w:fldChar w:fldCharType="separate"/>
    </w:r>
    <w:r w:rsidRPr="0053206C">
      <w:rPr>
        <w:noProof/>
      </w:rPr>
      <w:t>2</w:t>
    </w:r>
    <w:r w:rsidRPr="0053206C">
      <w:fldChar w:fldCharType="end"/>
    </w:r>
    <w:r w:rsidRPr="0053206C">
      <w:t xml:space="preserve"> -</w:t>
    </w:r>
  </w:p>
  <w:p w14:paraId="2EB715F0" w14:textId="045FFAE7" w:rsidR="005E2B26" w:rsidRPr="0053206C" w:rsidRDefault="005E2B26" w:rsidP="0053206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E6AF" w14:textId="77777777" w:rsidR="0053206C" w:rsidRPr="0053206C" w:rsidRDefault="0053206C" w:rsidP="00532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06C">
      <w:t>G/SPS/N/CAN/1427</w:t>
    </w:r>
  </w:p>
  <w:p w14:paraId="7B18E040" w14:textId="77777777" w:rsidR="0053206C" w:rsidRPr="0053206C" w:rsidRDefault="0053206C" w:rsidP="00532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10BA93" w14:textId="189A8624" w:rsidR="0053206C" w:rsidRPr="0053206C" w:rsidRDefault="0053206C" w:rsidP="0053206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06C">
      <w:t xml:space="preserve">- </w:t>
    </w:r>
    <w:r w:rsidRPr="0053206C">
      <w:fldChar w:fldCharType="begin"/>
    </w:r>
    <w:r w:rsidRPr="0053206C">
      <w:instrText xml:space="preserve"> PAGE </w:instrText>
    </w:r>
    <w:r w:rsidRPr="0053206C">
      <w:fldChar w:fldCharType="separate"/>
    </w:r>
    <w:r w:rsidRPr="0053206C">
      <w:rPr>
        <w:noProof/>
      </w:rPr>
      <w:t>2</w:t>
    </w:r>
    <w:r w:rsidRPr="0053206C">
      <w:fldChar w:fldCharType="end"/>
    </w:r>
    <w:r w:rsidRPr="0053206C">
      <w:t xml:space="preserve"> -</w:t>
    </w:r>
  </w:p>
  <w:p w14:paraId="307FF5DD" w14:textId="708FD5FA" w:rsidR="00DD65B2" w:rsidRPr="0053206C" w:rsidRDefault="00DD65B2" w:rsidP="0053206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3FD5" w14:paraId="6619A5B5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7512DD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619EE6" w14:textId="7F784A73" w:rsidR="00172B05" w:rsidRPr="000A2392" w:rsidRDefault="0053206C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4E3FD5" w14:paraId="45D9C8B9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F70DE3" w14:textId="77777777" w:rsidR="00172B05" w:rsidRPr="000A2392" w:rsidRDefault="00B1722A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6D3345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8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DC7DFB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4E3FD5" w14:paraId="481645E9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F62B93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E4CB73" w14:textId="77777777" w:rsidR="0053206C" w:rsidRDefault="0053206C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G/SPS/N/CAN/1427</w:t>
          </w:r>
        </w:p>
        <w:bookmarkEnd w:id="87"/>
        <w:p w14:paraId="74E9CACE" w14:textId="57CA5326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4E3FD5" w14:paraId="0B0AADFB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84C5E7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A8E29F" w14:textId="17864545" w:rsidR="00172B05" w:rsidRPr="000A2392" w:rsidRDefault="00F55DEE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7 février 2022</w:t>
          </w:r>
        </w:p>
      </w:tc>
    </w:tr>
    <w:tr w:rsidR="004E3FD5" w14:paraId="4D4E4C43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C11CD9" w14:textId="7DEAF13D" w:rsidR="00172B05" w:rsidRPr="000A2392" w:rsidRDefault="002E5895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F55DEE">
            <w:rPr>
              <w:color w:val="FF0000"/>
              <w:szCs w:val="18"/>
            </w:rPr>
            <w:t>22-</w:t>
          </w:r>
          <w:r w:rsidR="00B1722A">
            <w:rPr>
              <w:color w:val="FF0000"/>
              <w:szCs w:val="18"/>
            </w:rPr>
            <w:t>2059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7C802F" w14:textId="77777777" w:rsidR="00172B05" w:rsidRPr="000A2392" w:rsidRDefault="002E5895" w:rsidP="0053030B">
          <w:pPr>
            <w:jc w:val="right"/>
            <w:rPr>
              <w:szCs w:val="18"/>
            </w:rPr>
          </w:pPr>
          <w:bookmarkStart w:id="92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4E3FD5" w14:paraId="7F56F175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FD0813A" w14:textId="62E4A5B0" w:rsidR="00172B05" w:rsidRPr="000A2392" w:rsidRDefault="0053206C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FA7493" w14:textId="50FBC093" w:rsidR="00172B05" w:rsidRPr="00931751" w:rsidRDefault="0053206C" w:rsidP="00201F70">
          <w:pPr>
            <w:jc w:val="right"/>
            <w:rPr>
              <w:bCs/>
              <w:szCs w:val="18"/>
            </w:rPr>
          </w:pPr>
          <w:bookmarkStart w:id="94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anglais/français</w:t>
          </w:r>
          <w:bookmarkEnd w:id="94"/>
        </w:p>
      </w:tc>
    </w:tr>
  </w:tbl>
  <w:p w14:paraId="457A0F56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7062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EECD96" w:tentative="1">
      <w:start w:val="1"/>
      <w:numFmt w:val="lowerLetter"/>
      <w:lvlText w:val="%2."/>
      <w:lvlJc w:val="left"/>
      <w:pPr>
        <w:ind w:left="1080" w:hanging="360"/>
      </w:pPr>
    </w:lvl>
    <w:lvl w:ilvl="2" w:tplc="88604128" w:tentative="1">
      <w:start w:val="1"/>
      <w:numFmt w:val="lowerRoman"/>
      <w:lvlText w:val="%3."/>
      <w:lvlJc w:val="right"/>
      <w:pPr>
        <w:ind w:left="1800" w:hanging="180"/>
      </w:pPr>
    </w:lvl>
    <w:lvl w:ilvl="3" w:tplc="1FCC35A2" w:tentative="1">
      <w:start w:val="1"/>
      <w:numFmt w:val="decimal"/>
      <w:lvlText w:val="%4."/>
      <w:lvlJc w:val="left"/>
      <w:pPr>
        <w:ind w:left="2520" w:hanging="360"/>
      </w:pPr>
    </w:lvl>
    <w:lvl w:ilvl="4" w:tplc="E0801F36" w:tentative="1">
      <w:start w:val="1"/>
      <w:numFmt w:val="lowerLetter"/>
      <w:lvlText w:val="%5."/>
      <w:lvlJc w:val="left"/>
      <w:pPr>
        <w:ind w:left="3240" w:hanging="360"/>
      </w:pPr>
    </w:lvl>
    <w:lvl w:ilvl="5" w:tplc="AB6E2AB6" w:tentative="1">
      <w:start w:val="1"/>
      <w:numFmt w:val="lowerRoman"/>
      <w:lvlText w:val="%6."/>
      <w:lvlJc w:val="right"/>
      <w:pPr>
        <w:ind w:left="3960" w:hanging="180"/>
      </w:pPr>
    </w:lvl>
    <w:lvl w:ilvl="6" w:tplc="CB1EB926" w:tentative="1">
      <w:start w:val="1"/>
      <w:numFmt w:val="decimal"/>
      <w:lvlText w:val="%7."/>
      <w:lvlJc w:val="left"/>
      <w:pPr>
        <w:ind w:left="4680" w:hanging="360"/>
      </w:pPr>
    </w:lvl>
    <w:lvl w:ilvl="7" w:tplc="64F0E788" w:tentative="1">
      <w:start w:val="1"/>
      <w:numFmt w:val="lowerLetter"/>
      <w:lvlText w:val="%8."/>
      <w:lvlJc w:val="left"/>
      <w:pPr>
        <w:ind w:left="5400" w:hanging="360"/>
      </w:pPr>
    </w:lvl>
    <w:lvl w:ilvl="8" w:tplc="1332A5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84141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2E5895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4E3FD5"/>
    <w:rsid w:val="0053030B"/>
    <w:rsid w:val="0053206C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131F0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1722A"/>
    <w:rsid w:val="00B24B85"/>
    <w:rsid w:val="00B2578B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34B0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55DEE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D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2/pyraziflumid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2/pyraziflumid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795</Words>
  <Characters>5330</Characters>
  <Application>Microsoft Office Word</Application>
  <DocSecurity>0</DocSecurity>
  <Lines>123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2017-07-03T11:20:00Z</dcterms:created>
  <dcterms:modified xsi:type="dcterms:W3CDTF">2022-03-07T10:21:00Z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ceed82e6-5d91-4393-8ea4-dab8c5b47f12</vt:lpwstr>
  </property>
  <property fmtid="{D5CDD505-2E9C-101B-9397-08002B2CF9AE}" pid="3" name="Symbol1">
    <vt:lpwstr>G/SPS/N/CAN/1427</vt:lpwstr>
  </property>
  <property fmtid="{D5CDD505-2E9C-101B-9397-08002B2CF9AE}" pid="4" name="WTOCLASSIFICATION">
    <vt:lpwstr>WTO OFFICIAL</vt:lpwstr>
  </property>
</Properties>
</file>